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lang w:val="en-US" w:eastAsia="zh-CN"/>
        </w:rPr>
        <w:t>2021年</w:t>
      </w:r>
      <w:r>
        <w:rPr>
          <w:rFonts w:hint="eastAsia" w:ascii="微软雅黑" w:hAnsi="微软雅黑" w:eastAsia="微软雅黑" w:cs="微软雅黑"/>
          <w:b/>
          <w:bCs/>
          <w:sz w:val="32"/>
          <w:szCs w:val="32"/>
        </w:rPr>
        <w:t>内部控制风险评估报告</w:t>
      </w:r>
    </w:p>
    <w:p>
      <w:pPr>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根据财政部《行政事业单位内部控制规范(试行)》和单位《内部控制实施办法》有关规定,组织开展了对单位各部门的风险评估活动，现将结果报告如下: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一、工作组织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(一)组织保障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本单位成立以内部控制领导小组为决策机构，</w:t>
      </w:r>
      <w:r>
        <w:rPr>
          <w:rFonts w:hint="eastAsia" w:ascii="仿宋_GB2312" w:hAnsi="仿宋_GB2312" w:eastAsia="仿宋_GB2312" w:cs="仿宋_GB2312"/>
          <w:sz w:val="28"/>
          <w:szCs w:val="28"/>
          <w:lang w:eastAsia="zh-CN"/>
        </w:rPr>
        <w:t>内控评价与监督部门</w:t>
      </w:r>
      <w:r>
        <w:rPr>
          <w:rFonts w:hint="eastAsia" w:ascii="仿宋_GB2312" w:hAnsi="仿宋_GB2312" w:eastAsia="仿宋_GB2312" w:cs="仿宋_GB2312"/>
          <w:sz w:val="28"/>
          <w:szCs w:val="28"/>
        </w:rPr>
        <w:t>牵头</w:t>
      </w:r>
      <w:r>
        <w:rPr>
          <w:rFonts w:hint="eastAsia" w:ascii="仿宋_GB2312" w:hAnsi="仿宋_GB2312" w:eastAsia="仿宋_GB2312" w:cs="仿宋_GB2312"/>
          <w:sz w:val="28"/>
          <w:szCs w:val="28"/>
          <w:lang w:val="en-US" w:eastAsia="zh-CN"/>
        </w:rPr>
        <w:t>组织</w:t>
      </w:r>
      <w:r>
        <w:rPr>
          <w:rFonts w:hint="eastAsia" w:ascii="仿宋_GB2312" w:hAnsi="仿宋_GB2312" w:eastAsia="仿宋_GB2312" w:cs="仿宋_GB2312"/>
          <w:sz w:val="28"/>
          <w:szCs w:val="28"/>
        </w:rPr>
        <w:t>，业务部门</w:t>
      </w:r>
      <w:r>
        <w:rPr>
          <w:rFonts w:hint="eastAsia" w:ascii="仿宋_GB2312" w:hAnsi="仿宋_GB2312" w:eastAsia="仿宋_GB2312" w:cs="仿宋_GB2312"/>
          <w:sz w:val="28"/>
          <w:szCs w:val="28"/>
          <w:lang w:val="en-US" w:eastAsia="zh-CN"/>
        </w:rPr>
        <w:t>负责</w:t>
      </w:r>
      <w:r>
        <w:rPr>
          <w:rFonts w:hint="eastAsia" w:ascii="仿宋_GB2312" w:hAnsi="仿宋_GB2312" w:eastAsia="仿宋_GB2312" w:cs="仿宋_GB2312"/>
          <w:sz w:val="28"/>
          <w:szCs w:val="28"/>
        </w:rPr>
        <w:t>主体</w:t>
      </w:r>
      <w:r>
        <w:rPr>
          <w:rFonts w:hint="eastAsia" w:ascii="仿宋_GB2312" w:hAnsi="仿宋_GB2312" w:eastAsia="仿宋_GB2312" w:cs="仿宋_GB2312"/>
          <w:sz w:val="28"/>
          <w:szCs w:val="28"/>
          <w:lang w:val="en-US" w:eastAsia="zh-CN"/>
        </w:rPr>
        <w:t>执行</w:t>
      </w:r>
      <w:r>
        <w:rPr>
          <w:rFonts w:hint="eastAsia" w:ascii="仿宋_GB2312" w:hAnsi="仿宋_GB2312" w:eastAsia="仿宋_GB2312" w:cs="仿宋_GB2312"/>
          <w:sz w:val="28"/>
          <w:szCs w:val="28"/>
        </w:rPr>
        <w:t>的风险评估工作</w:t>
      </w:r>
      <w:r>
        <w:rPr>
          <w:rFonts w:hint="eastAsia" w:ascii="仿宋_GB2312" w:hAnsi="仿宋_GB2312" w:eastAsia="仿宋_GB2312" w:cs="仿宋_GB2312"/>
          <w:sz w:val="28"/>
          <w:szCs w:val="28"/>
          <w:lang w:eastAsia="zh-CN"/>
        </w:rPr>
        <w:t>机制</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(二)风险评估范围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本次风险评估所涉及的业务范围</w:t>
      </w:r>
      <w:r>
        <w:rPr>
          <w:rFonts w:hint="eastAsia" w:ascii="仿宋_GB2312" w:hAnsi="仿宋_GB2312" w:eastAsia="仿宋_GB2312" w:cs="仿宋_GB2312"/>
          <w:sz w:val="28"/>
          <w:szCs w:val="28"/>
          <w:lang w:eastAsia="zh-CN"/>
        </w:rPr>
        <w:t>包含单位</w:t>
      </w:r>
      <w:r>
        <w:rPr>
          <w:rFonts w:hint="eastAsia" w:ascii="仿宋_GB2312" w:hAnsi="仿宋_GB2312" w:eastAsia="仿宋_GB2312" w:cs="仿宋_GB2312"/>
          <w:sz w:val="28"/>
          <w:szCs w:val="28"/>
        </w:rPr>
        <w:t>层面风险和经济业务活动层面风险。其中经济业务活动层面风险涵盖预决算业务、收支业务、政府采购业务，资产管理业务和合同业务</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(三)工作程序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风险识别、风险分析与评价，风险报告的基本工作程序，结合本单位经济业务活动的实际情况，实行单位层面风险评估与业务层面风险评估并行，主体责任部门对相关业务层面风险归口管理的风险评估机制。具体程序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1、风险识别</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按照归口管理的基本原则，由</w:t>
      </w:r>
      <w:r>
        <w:rPr>
          <w:rFonts w:hint="eastAsia" w:ascii="仿宋_GB2312" w:hAnsi="仿宋_GB2312" w:eastAsia="仿宋_GB2312" w:cs="仿宋_GB2312"/>
          <w:sz w:val="28"/>
          <w:szCs w:val="28"/>
          <w:lang w:eastAsia="zh-CN"/>
        </w:rPr>
        <w:t>牵头机构</w:t>
      </w:r>
      <w:r>
        <w:rPr>
          <w:rFonts w:hint="eastAsia" w:ascii="仿宋_GB2312" w:hAnsi="仿宋_GB2312" w:eastAsia="仿宋_GB2312" w:cs="仿宋_GB2312"/>
          <w:sz w:val="28"/>
          <w:szCs w:val="28"/>
        </w:rPr>
        <w:t>负责单位层面风险识别工作，主要辨识与风险评估机构保障、经济业务活动决策机制、经济业务活动责任机构与人员，会计控制、信息系统。内部控制</w:t>
      </w:r>
      <w:r>
        <w:rPr>
          <w:rFonts w:hint="eastAsia" w:ascii="仿宋_GB2312" w:hAnsi="仿宋_GB2312" w:eastAsia="仿宋_GB2312" w:cs="仿宋_GB2312"/>
          <w:sz w:val="28"/>
          <w:szCs w:val="28"/>
          <w:lang w:eastAsia="zh-CN"/>
        </w:rPr>
        <w:t>体系建设情况</w:t>
      </w:r>
      <w:r>
        <w:rPr>
          <w:rFonts w:hint="eastAsia" w:ascii="仿宋_GB2312" w:hAnsi="仿宋_GB2312" w:eastAsia="仿宋_GB2312" w:cs="仿宋_GB2312"/>
          <w:sz w:val="28"/>
          <w:szCs w:val="28"/>
        </w:rPr>
        <w:t>等单位层面内部控制相关的风险因素。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业务层面风险因素由归口管理</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负识别相应的风险因素，形成单位风险数据库。</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2、风险分析与评价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以“谁归口。谁分析”为基础，并采用二级风险分析机制完成风险分析与评价工作。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一级风险分析:按照风险识别工作的归口分工</w:t>
      </w:r>
      <w:r>
        <w:rPr>
          <w:rFonts w:hint="eastAsia" w:ascii="仿宋_GB2312" w:hAnsi="仿宋_GB2312" w:eastAsia="仿宋_GB2312" w:cs="仿宋_GB2312"/>
          <w:sz w:val="28"/>
          <w:szCs w:val="28"/>
          <w:lang w:eastAsia="zh-CN"/>
        </w:rPr>
        <w:t>情况</w:t>
      </w:r>
      <w:r>
        <w:rPr>
          <w:rFonts w:hint="eastAsia" w:ascii="仿宋_GB2312" w:hAnsi="仿宋_GB2312" w:eastAsia="仿宋_GB2312" w:cs="仿宋_GB2312"/>
          <w:sz w:val="28"/>
          <w:szCs w:val="28"/>
        </w:rPr>
        <w:t>，各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完成风险识别工作后，应当及时对所有识别的风险从发生可能性与影响程度两个维度进行风险分析，并根据初步分析形成的定量结论为基础对所有风险因素从定性角度确定“重大风险”，“重要风险” 、“一般风险”。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二级风险分析:</w:t>
      </w:r>
      <w:r>
        <w:rPr>
          <w:rFonts w:hint="eastAsia" w:ascii="仿宋_GB2312" w:hAnsi="仿宋_GB2312" w:eastAsia="仿宋_GB2312" w:cs="仿宋_GB2312"/>
          <w:sz w:val="28"/>
          <w:szCs w:val="28"/>
          <w:lang w:eastAsia="zh-CN"/>
        </w:rPr>
        <w:t>牵头机构负责</w:t>
      </w:r>
      <w:r>
        <w:rPr>
          <w:rFonts w:hint="eastAsia" w:ascii="仿宋_GB2312" w:hAnsi="仿宋_GB2312" w:eastAsia="仿宋_GB2312" w:cs="仿宋_GB2312"/>
          <w:sz w:val="28"/>
          <w:szCs w:val="28"/>
        </w:rPr>
        <w:t>汇总各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风险分析初步结论，形成单位整体层面一级风险结论并进行复核整理后，提交单位</w:t>
      </w:r>
      <w:r>
        <w:rPr>
          <w:rFonts w:hint="eastAsia" w:ascii="仿宋_GB2312" w:hAnsi="仿宋_GB2312" w:eastAsia="仿宋_GB2312" w:cs="仿宋_GB2312"/>
          <w:sz w:val="28"/>
          <w:szCs w:val="28"/>
          <w:lang w:eastAsia="zh-CN"/>
        </w:rPr>
        <w:t>内部控制领导小组</w:t>
      </w:r>
      <w:r>
        <w:rPr>
          <w:rFonts w:hint="eastAsia" w:ascii="仿宋_GB2312" w:hAnsi="仿宋_GB2312" w:eastAsia="仿宋_GB2312" w:cs="仿宋_GB2312"/>
          <w:sz w:val="28"/>
          <w:szCs w:val="28"/>
        </w:rPr>
        <w:t>集体讨论分析，</w:t>
      </w:r>
      <w:r>
        <w:rPr>
          <w:rFonts w:hint="eastAsia" w:ascii="仿宋_GB2312" w:hAnsi="仿宋_GB2312" w:eastAsia="仿宋_GB2312" w:cs="仿宋_GB2312"/>
          <w:sz w:val="28"/>
          <w:szCs w:val="28"/>
          <w:lang w:eastAsia="zh-CN"/>
        </w:rPr>
        <w:t>内部控制领导小组</w:t>
      </w:r>
      <w:r>
        <w:rPr>
          <w:rFonts w:hint="eastAsia" w:ascii="仿宋_GB2312" w:hAnsi="仿宋_GB2312" w:eastAsia="仿宋_GB2312" w:cs="仿宋_GB2312"/>
          <w:sz w:val="28"/>
          <w:szCs w:val="28"/>
        </w:rPr>
        <w:t>最终认定的风险等级即为单位风险分析与评价结论。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3、风险评估报告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牵头部门</w:t>
      </w:r>
      <w:r>
        <w:rPr>
          <w:rFonts w:hint="eastAsia" w:ascii="仿宋_GB2312" w:hAnsi="仿宋_GB2312" w:eastAsia="仿宋_GB2312" w:cs="仿宋_GB2312"/>
          <w:sz w:val="28"/>
          <w:szCs w:val="28"/>
        </w:rPr>
        <w:t>总结风险分析工作过程与结论，编制本报告，并提交至内部控制领导小组审批。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二、主要关注风险</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(一)单位层面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1、经济活动的决策、执行、监督未实现有效分离、权</w:t>
      </w:r>
      <w:r>
        <w:rPr>
          <w:rFonts w:hint="eastAsia" w:ascii="仿宋_GB2312" w:hAnsi="仿宋_GB2312" w:eastAsia="仿宋_GB2312" w:cs="仿宋_GB2312"/>
          <w:sz w:val="28"/>
          <w:szCs w:val="28"/>
          <w:lang w:eastAsia="zh-CN"/>
        </w:rPr>
        <w:t>责</w:t>
      </w:r>
      <w:r>
        <w:rPr>
          <w:rFonts w:hint="eastAsia" w:ascii="仿宋_GB2312" w:hAnsi="仿宋_GB2312" w:eastAsia="仿宋_GB2312" w:cs="仿宋_GB2312"/>
          <w:sz w:val="28"/>
          <w:szCs w:val="28"/>
        </w:rPr>
        <w:t>不明或不对</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rPr>
        <w:t>。不相容职</w:t>
      </w:r>
      <w:r>
        <w:rPr>
          <w:rFonts w:hint="eastAsia" w:ascii="仿宋_GB2312" w:hAnsi="仿宋_GB2312" w:eastAsia="仿宋_GB2312" w:cs="仿宋_GB2312"/>
          <w:sz w:val="28"/>
          <w:szCs w:val="28"/>
          <w:lang w:eastAsia="zh-CN"/>
        </w:rPr>
        <w:t>责</w:t>
      </w:r>
      <w:r>
        <w:rPr>
          <w:rFonts w:hint="eastAsia" w:ascii="仿宋_GB2312" w:hAnsi="仿宋_GB2312" w:eastAsia="仿宋_GB2312" w:cs="仿宋_GB2312"/>
          <w:sz w:val="28"/>
          <w:szCs w:val="28"/>
        </w:rPr>
        <w:t>未分离，导致内部控制主体责任不明确。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2、经济活动权力运行机制不固化、内部</w:t>
      </w:r>
      <w:r>
        <w:rPr>
          <w:rFonts w:hint="eastAsia" w:ascii="仿宋_GB2312" w:hAnsi="仿宋_GB2312" w:eastAsia="仿宋_GB2312" w:cs="仿宋_GB2312"/>
          <w:sz w:val="28"/>
          <w:szCs w:val="28"/>
          <w:lang w:eastAsia="zh-CN"/>
        </w:rPr>
        <w:t>监</w:t>
      </w:r>
      <w:r>
        <w:rPr>
          <w:rFonts w:hint="eastAsia" w:ascii="仿宋_GB2312" w:hAnsi="仿宋_GB2312" w:eastAsia="仿宋_GB2312" w:cs="仿宋_GB2312"/>
          <w:sz w:val="28"/>
          <w:szCs w:val="28"/>
        </w:rPr>
        <w:t>督机制弱化，导致</w:t>
      </w:r>
      <w:r>
        <w:rPr>
          <w:rFonts w:hint="eastAsia" w:ascii="仿宋_GB2312" w:hAnsi="仿宋_GB2312" w:eastAsia="仿宋_GB2312" w:cs="仿宋_GB2312"/>
          <w:sz w:val="28"/>
          <w:szCs w:val="28"/>
          <w:lang w:eastAsia="zh-CN"/>
        </w:rPr>
        <w:t>经</w:t>
      </w:r>
      <w:r>
        <w:rPr>
          <w:rFonts w:hint="eastAsia" w:ascii="仿宋_GB2312" w:hAnsi="仿宋_GB2312" w:eastAsia="仿宋_GB2312" w:cs="仿宋_GB2312"/>
          <w:sz w:val="28"/>
          <w:szCs w:val="28"/>
        </w:rPr>
        <w:t>济业务活动决策不科学或不合理。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、信息系统没有覆盖经济业务活动的所有方面，从面影响单位运行效率。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(二)业务层面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1、预决算业务:预算编制过程中机关内部各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间沟通协调是否充分，预算编制与资产信息是否相结合;是否按照批复的额度和开支范围执行预算，进度是否合理，是否存在无预算、超预算支出等问题;决算编报是否真实、完整、准确、及时。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收支管理情况:收入是否实现归口管理，是否按照规定及时向财会部门提供收入的有关凭据，是否按照规定保管和使用印章和票据等:发生支出事项时是否按照规定审核各类凭据的真实性、合法性，是否存在使用虚假票据套取资金的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3、政府采购管理情况:是否按照预算和计划组织政府采购业务;是否按照规定组织政府采购活动和执行验收程序;是否按照规定保存政府采购业务相关档案。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4、资产管理情况：是否实现资产归口管理并明确使用责任;是否定期对资产进行清查盘点，对账实不符的情况及时进行处理;是否按照规定</w:t>
      </w:r>
      <w:r>
        <w:rPr>
          <w:rFonts w:hint="eastAsia" w:ascii="仿宋_GB2312" w:hAnsi="仿宋_GB2312" w:eastAsia="仿宋_GB2312" w:cs="仿宋_GB2312"/>
          <w:sz w:val="28"/>
          <w:szCs w:val="28"/>
          <w:lang w:eastAsia="zh-CN"/>
        </w:rPr>
        <w:t>处理</w:t>
      </w:r>
      <w:r>
        <w:rPr>
          <w:rFonts w:hint="eastAsia" w:ascii="仿宋_GB2312" w:hAnsi="仿宋_GB2312" w:eastAsia="仿宋_GB2312" w:cs="仿宋_GB2312"/>
          <w:sz w:val="28"/>
          <w:szCs w:val="28"/>
        </w:rPr>
        <w:t>资产。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、合同管理情况:是否实现合同归口管理;是否明确应签订合同的经济活动范围和条件;是否有效</w:t>
      </w:r>
      <w:r>
        <w:rPr>
          <w:rFonts w:hint="eastAsia" w:ascii="仿宋_GB2312" w:hAnsi="仿宋_GB2312" w:eastAsia="仿宋_GB2312" w:cs="仿宋_GB2312"/>
          <w:sz w:val="28"/>
          <w:szCs w:val="28"/>
          <w:lang w:eastAsia="zh-CN"/>
        </w:rPr>
        <w:t>监</w:t>
      </w:r>
      <w:r>
        <w:rPr>
          <w:rFonts w:hint="eastAsia" w:ascii="仿宋_GB2312" w:hAnsi="仿宋_GB2312" w:eastAsia="仿宋_GB2312" w:cs="仿宋_GB2312"/>
          <w:sz w:val="28"/>
          <w:szCs w:val="28"/>
        </w:rPr>
        <w:t>控合同履行情况，是否建立合同纠</w:t>
      </w:r>
      <w:r>
        <w:rPr>
          <w:rFonts w:hint="eastAsia" w:ascii="仿宋_GB2312" w:hAnsi="仿宋_GB2312" w:eastAsia="仿宋_GB2312" w:cs="仿宋_GB2312"/>
          <w:sz w:val="28"/>
          <w:szCs w:val="28"/>
          <w:lang w:eastAsia="zh-CN"/>
        </w:rPr>
        <w:t>纷</w:t>
      </w:r>
      <w:r>
        <w:rPr>
          <w:rFonts w:hint="eastAsia" w:ascii="仿宋_GB2312" w:hAnsi="仿宋_GB2312" w:eastAsia="仿宋_GB2312" w:cs="仿宋_GB2312"/>
          <w:sz w:val="28"/>
          <w:szCs w:val="28"/>
        </w:rPr>
        <w:t>协调机制。</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(三)重大风险和重要风险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经过认真分析与评价，本单位目前无重大风险和重要风险。</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四、下一步工作安排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本次风险分析结论，本单位仍然客观存在着众多风险因素，下一步将进一步强化风险控制责任，规范风险控制程序，完善内部控制体系，具体举措主要包括:明确规定各业务流程中各部门、各岗位的职责，明确规定相关</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在业务活动中的监督位置，使之起到对应的二次监督作用。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B0CD6"/>
    <w:rsid w:val="087F547E"/>
    <w:rsid w:val="0B2077B5"/>
    <w:rsid w:val="101B33F4"/>
    <w:rsid w:val="1D0D370C"/>
    <w:rsid w:val="30B343DC"/>
    <w:rsid w:val="38DD553B"/>
    <w:rsid w:val="5C0D4D6D"/>
    <w:rsid w:val="69A24BB3"/>
    <w:rsid w:val="78C46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2020-01-07T03:09:00Z</dcterms:created>
  <dc:creator>DELL</dc:creator>
  <cp:lastModifiedBy>姚</cp:lastModifiedBy>
  <dcterms:modified xsi:type="dcterms:W3CDTF">2022-05-13T08:48:28Z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